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校区绿化</w:t>
      </w:r>
      <w:r>
        <w:rPr>
          <w:rFonts w:hint="eastAsia"/>
          <w:b/>
          <w:bCs/>
          <w:sz w:val="44"/>
          <w:szCs w:val="44"/>
          <w:lang w:eastAsia="zh-CN"/>
        </w:rPr>
        <w:t>病虫害防治估算表</w:t>
      </w:r>
    </w:p>
    <w:p>
      <w:pPr>
        <w:rPr>
          <w:rFonts w:hint="eastAsia"/>
          <w:sz w:val="10"/>
          <w:szCs w:val="10"/>
          <w:lang w:eastAsia="zh-CN"/>
        </w:rPr>
      </w:pPr>
    </w:p>
    <w:tbl>
      <w:tblPr>
        <w:tblStyle w:val="3"/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93"/>
        <w:gridCol w:w="2760"/>
        <w:gridCol w:w="1230"/>
        <w:gridCol w:w="175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12" w:hRule="atLeast"/>
        </w:trPr>
        <w:tc>
          <w:tcPr>
            <w:tcW w:w="60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760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项目特征及工作内容</w:t>
            </w:r>
          </w:p>
        </w:tc>
        <w:tc>
          <w:tcPr>
            <w:tcW w:w="1230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755" w:type="dxa"/>
            <w:vMerge w:val="restart"/>
            <w:tcBorders>
              <w:top w:val="single" w:color="000000" w:sz="18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（人工费、机械费、杀虫药物费、税费）</w:t>
            </w:r>
          </w:p>
        </w:tc>
        <w:tc>
          <w:tcPr>
            <w:tcW w:w="1320" w:type="dxa"/>
            <w:vMerge w:val="restart"/>
            <w:tcBorders>
              <w:top w:val="single" w:color="000000" w:sz="18" w:space="0"/>
              <w:left w:val="single" w:color="auto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1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1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1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00" w:type="dxa"/>
            <w:tcBorders>
              <w:top w:val="single" w:color="auto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病虫害防治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、治理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1、美国白蛾专项治理。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绿化区域苗木。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病虫害防治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、治理（4月、5月、6月，每月防治、治理不少于两次，必须确保无美国白蛾及病虫害出现。）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5003F"/>
    <w:rsid w:val="05E5003F"/>
    <w:rsid w:val="3B617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2017-06-05T07:21:00Z</dcterms:created>
  <dc:creator>sj</dc:creator>
  <cp:lastModifiedBy>Admin</cp:lastModifiedBy>
  <dcterms:modified xsi:type="dcterms:W3CDTF">2017-06-05T07:28:39Z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